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4BAB" w14:textId="575F453E" w:rsidR="004A77F7" w:rsidRDefault="008862BD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1D0D9994">
            <wp:simplePos x="0" y="0"/>
            <wp:positionH relativeFrom="margin">
              <wp:align>left</wp:align>
            </wp:positionH>
            <wp:positionV relativeFrom="paragraph">
              <wp:posOffset>-493085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3B25">
        <w:rPr>
          <w:rFonts w:ascii="Century Gothic" w:hAnsi="Century Gothic"/>
          <w:b/>
          <w:bCs/>
          <w:sz w:val="48"/>
          <w:szCs w:val="48"/>
        </w:rPr>
        <w:t xml:space="preserve">    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proofErr w:type="gramStart"/>
      <w:r w:rsidR="008E2CD2" w:rsidRPr="008862BD">
        <w:rPr>
          <w:rFonts w:ascii="Century Gothic" w:hAnsi="Century Gothic"/>
          <w:b/>
          <w:bCs/>
          <w:sz w:val="48"/>
          <w:szCs w:val="48"/>
        </w:rPr>
        <w:t xml:space="preserve">SACATEPÉQUEZ, </w:t>
      </w:r>
      <w:r w:rsidR="006A3B25">
        <w:rPr>
          <w:rFonts w:ascii="Century Gothic" w:hAnsi="Century Gothic"/>
          <w:b/>
          <w:bCs/>
          <w:sz w:val="48"/>
          <w:szCs w:val="48"/>
        </w:rPr>
        <w:t xml:space="preserve">  </w:t>
      </w:r>
      <w:proofErr w:type="gramEnd"/>
      <w:r w:rsidR="006A3B25">
        <w:rPr>
          <w:rFonts w:ascii="Century Gothic" w:hAnsi="Century Gothic"/>
          <w:b/>
          <w:bCs/>
          <w:sz w:val="48"/>
          <w:szCs w:val="48"/>
        </w:rPr>
        <w:t xml:space="preserve"> 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SACATEPÉQUEZ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8"/>
        <w:gridCol w:w="4066"/>
        <w:gridCol w:w="2552"/>
        <w:gridCol w:w="3501"/>
      </w:tblGrid>
      <w:tr w:rsidR="00DC45E4" w:rsidRPr="006A3B25" w14:paraId="50385814" w14:textId="77777777" w:rsidTr="00CA44B8">
        <w:tc>
          <w:tcPr>
            <w:tcW w:w="0" w:type="auto"/>
            <w:shd w:val="clear" w:color="auto" w:fill="99CC00"/>
            <w:vAlign w:val="center"/>
          </w:tcPr>
          <w:p w14:paraId="3A8FF867" w14:textId="490DA66C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4066" w:type="dxa"/>
            <w:vAlign w:val="center"/>
          </w:tcPr>
          <w:p w14:paraId="72AE65A8" w14:textId="3FD3237B" w:rsidR="004A77F7" w:rsidRPr="008862BD" w:rsidRDefault="00CA44B8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Planificación</w:t>
            </w:r>
          </w:p>
        </w:tc>
        <w:tc>
          <w:tcPr>
            <w:tcW w:w="2552" w:type="dxa"/>
            <w:shd w:val="clear" w:color="auto" w:fill="99CC00"/>
            <w:vAlign w:val="center"/>
          </w:tcPr>
          <w:p w14:paraId="277ED5C5" w14:textId="54765F2D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3501" w:type="dxa"/>
            <w:vAlign w:val="center"/>
          </w:tcPr>
          <w:p w14:paraId="47DBA43B" w14:textId="4ED2310D" w:rsidR="004A77F7" w:rsidRPr="00CA44B8" w:rsidRDefault="00CA44B8" w:rsidP="005F7F3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CA44B8">
              <w:rPr>
                <w:b/>
                <w:bCs/>
                <w:lang w:val="en-US"/>
              </w:rPr>
              <w:t>PR-MSL-DMP-DP-AIAFF-SNIP-05</w:t>
            </w:r>
          </w:p>
        </w:tc>
      </w:tr>
      <w:tr w:rsidR="00DC45E4" w:rsidRPr="008862BD" w14:paraId="2C56D298" w14:textId="77777777" w:rsidTr="00CA44B8">
        <w:tc>
          <w:tcPr>
            <w:tcW w:w="0" w:type="auto"/>
            <w:shd w:val="clear" w:color="auto" w:fill="99CC00"/>
            <w:vAlign w:val="center"/>
          </w:tcPr>
          <w:p w14:paraId="1C97DFA5" w14:textId="467E4390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4066" w:type="dxa"/>
            <w:vAlign w:val="center"/>
          </w:tcPr>
          <w:p w14:paraId="79E9E8DC" w14:textId="6535A8BD" w:rsidR="004A77F7" w:rsidRPr="006102CE" w:rsidRDefault="00DC45E4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Actualización Información Avance </w:t>
            </w:r>
            <w:r w:rsidR="004E3D14">
              <w:rPr>
                <w:rFonts w:ascii="Century Gothic" w:hAnsi="Century Gothic"/>
                <w:b/>
                <w:bCs/>
                <w:sz w:val="24"/>
                <w:szCs w:val="24"/>
              </w:rPr>
              <w:t>Físico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y Financiero SNIP</w:t>
            </w:r>
          </w:p>
        </w:tc>
        <w:tc>
          <w:tcPr>
            <w:tcW w:w="2552" w:type="dxa"/>
            <w:shd w:val="clear" w:color="auto" w:fill="99CC00"/>
            <w:vAlign w:val="center"/>
          </w:tcPr>
          <w:p w14:paraId="1D973077" w14:textId="3FD7CA3D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3501" w:type="dxa"/>
            <w:vAlign w:val="center"/>
          </w:tcPr>
          <w:p w14:paraId="4C2B187A" w14:textId="28E2E2A3" w:rsidR="004A77F7" w:rsidRPr="008862BD" w:rsidRDefault="00AE14E5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6102CE" w:rsidRPr="008862BD" w14:paraId="0E078C07" w14:textId="77777777" w:rsidTr="00CA44B8">
        <w:tc>
          <w:tcPr>
            <w:tcW w:w="0" w:type="auto"/>
            <w:shd w:val="clear" w:color="auto" w:fill="99CC00"/>
            <w:vAlign w:val="center"/>
          </w:tcPr>
          <w:p w14:paraId="4B67D8C7" w14:textId="621A4D2F" w:rsidR="006102CE" w:rsidRPr="008862BD" w:rsidRDefault="006102CE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Dirección</w:t>
            </w:r>
          </w:p>
        </w:tc>
        <w:tc>
          <w:tcPr>
            <w:tcW w:w="4066" w:type="dxa"/>
            <w:shd w:val="clear" w:color="auto" w:fill="99CC00"/>
            <w:vAlign w:val="center"/>
          </w:tcPr>
          <w:p w14:paraId="05D48EE3" w14:textId="222AE184" w:rsidR="006102CE" w:rsidRPr="00D055ED" w:rsidRDefault="006102CE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Departamento</w:t>
            </w:r>
          </w:p>
        </w:tc>
        <w:tc>
          <w:tcPr>
            <w:tcW w:w="6053" w:type="dxa"/>
            <w:gridSpan w:val="2"/>
            <w:shd w:val="clear" w:color="auto" w:fill="99CC00"/>
            <w:vAlign w:val="center"/>
          </w:tcPr>
          <w:p w14:paraId="5E982670" w14:textId="43C61BF2" w:rsidR="006102CE" w:rsidRPr="008862BD" w:rsidRDefault="006102CE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</w:t>
            </w:r>
          </w:p>
        </w:tc>
      </w:tr>
      <w:tr w:rsidR="003E3967" w:rsidRPr="008862BD" w14:paraId="64561F99" w14:textId="77777777" w:rsidTr="00CA44B8">
        <w:tc>
          <w:tcPr>
            <w:tcW w:w="0" w:type="auto"/>
            <w:vAlign w:val="center"/>
          </w:tcPr>
          <w:p w14:paraId="10220D0F" w14:textId="2204EF31" w:rsidR="003E3967" w:rsidRPr="006102CE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Municipal de Planificación</w:t>
            </w:r>
          </w:p>
        </w:tc>
        <w:tc>
          <w:tcPr>
            <w:tcW w:w="4066" w:type="dxa"/>
            <w:vAlign w:val="center"/>
          </w:tcPr>
          <w:p w14:paraId="0F04B9DA" w14:textId="4F84EED8" w:rsidR="003E3967" w:rsidRPr="006102CE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Planificación</w:t>
            </w:r>
          </w:p>
        </w:tc>
        <w:tc>
          <w:tcPr>
            <w:tcW w:w="6053" w:type="dxa"/>
            <w:gridSpan w:val="2"/>
            <w:vAlign w:val="center"/>
          </w:tcPr>
          <w:p w14:paraId="465274C2" w14:textId="5418A072" w:rsidR="003E3967" w:rsidRPr="006102CE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</w:tr>
      <w:tr w:rsidR="003E3967" w:rsidRPr="008862BD" w14:paraId="04865B05" w14:textId="77777777" w:rsidTr="00CA44B8">
        <w:trPr>
          <w:trHeight w:val="684"/>
        </w:trPr>
        <w:tc>
          <w:tcPr>
            <w:tcW w:w="0" w:type="auto"/>
            <w:shd w:val="clear" w:color="auto" w:fill="99CC00"/>
            <w:vAlign w:val="center"/>
          </w:tcPr>
          <w:p w14:paraId="6B10B662" w14:textId="77777777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4066" w:type="dxa"/>
            <w:shd w:val="clear" w:color="auto" w:fill="99CC00"/>
            <w:vAlign w:val="center"/>
          </w:tcPr>
          <w:p w14:paraId="4007A837" w14:textId="58856F4E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2552" w:type="dxa"/>
            <w:shd w:val="clear" w:color="auto" w:fill="99CC00"/>
            <w:vAlign w:val="center"/>
          </w:tcPr>
          <w:p w14:paraId="00CD2A50" w14:textId="6302387B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3501" w:type="dxa"/>
            <w:shd w:val="clear" w:color="auto" w:fill="99CC00"/>
            <w:vAlign w:val="center"/>
          </w:tcPr>
          <w:p w14:paraId="0D907B74" w14:textId="38AB786E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3E3967" w:rsidRPr="008862BD" w14:paraId="392098E8" w14:textId="77777777" w:rsidTr="00CA44B8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206831DB" w14:textId="7A6DEE88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</w:t>
            </w:r>
          </w:p>
        </w:tc>
        <w:tc>
          <w:tcPr>
            <w:tcW w:w="4066" w:type="dxa"/>
            <w:vAlign w:val="center"/>
          </w:tcPr>
          <w:p w14:paraId="2DCEC136" w14:textId="6FCEA966" w:rsidR="003E3967" w:rsidRPr="00275974" w:rsidRDefault="003E3967" w:rsidP="003E3967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Arq. Homero Secundino </w:t>
            </w:r>
            <w:proofErr w:type="spellStart"/>
            <w:r>
              <w:rPr>
                <w:rFonts w:ascii="Century Gothic" w:hAnsi="Century Gothic"/>
                <w:b/>
                <w:bCs/>
              </w:rPr>
              <w:t>Jimenez</w:t>
            </w:r>
            <w:proofErr w:type="spellEnd"/>
            <w:r>
              <w:rPr>
                <w:rFonts w:ascii="Century Gothic" w:hAnsi="Century Gothic"/>
                <w:b/>
                <w:bCs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bCs/>
              </w:rPr>
              <w:t>Ixmatul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14:paraId="6FD70F34" w14:textId="32FB052C" w:rsidR="003E3967" w:rsidRPr="00275974" w:rsidRDefault="003E3967" w:rsidP="003E3967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501" w:type="dxa"/>
            <w:vMerge w:val="restart"/>
            <w:vAlign w:val="center"/>
          </w:tcPr>
          <w:p w14:paraId="4C666AA5" w14:textId="48B868C3" w:rsidR="003E3967" w:rsidRPr="00686FD7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686FD7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3</w:t>
            </w:r>
            <w:r w:rsidRPr="00686FD7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de 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junio</w:t>
            </w:r>
            <w:r w:rsidRPr="00686FD7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de 2025</w:t>
            </w:r>
          </w:p>
        </w:tc>
      </w:tr>
      <w:tr w:rsidR="003E3967" w:rsidRPr="008862BD" w14:paraId="3E46D96A" w14:textId="77777777" w:rsidTr="00CA44B8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3296E063" w14:textId="4499920B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4066" w:type="dxa"/>
            <w:vAlign w:val="center"/>
          </w:tcPr>
          <w:p w14:paraId="4A27393C" w14:textId="3C73C733" w:rsidR="003E3967" w:rsidRPr="00275974" w:rsidRDefault="003E3967" w:rsidP="003E3967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Jefe de Planificación</w:t>
            </w:r>
          </w:p>
        </w:tc>
        <w:tc>
          <w:tcPr>
            <w:tcW w:w="2552" w:type="dxa"/>
            <w:vMerge/>
            <w:vAlign w:val="center"/>
          </w:tcPr>
          <w:p w14:paraId="5DCB8DFC" w14:textId="77777777" w:rsidR="003E3967" w:rsidRPr="00275974" w:rsidRDefault="003E3967" w:rsidP="003E3967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501" w:type="dxa"/>
            <w:vMerge/>
            <w:vAlign w:val="center"/>
          </w:tcPr>
          <w:p w14:paraId="1F0AC1E3" w14:textId="77777777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3E3967" w:rsidRPr="008862BD" w14:paraId="6982697F" w14:textId="77777777" w:rsidTr="00CA44B8">
        <w:trPr>
          <w:trHeight w:val="361"/>
        </w:trPr>
        <w:tc>
          <w:tcPr>
            <w:tcW w:w="0" w:type="auto"/>
            <w:shd w:val="clear" w:color="auto" w:fill="99CC00"/>
            <w:vAlign w:val="center"/>
          </w:tcPr>
          <w:p w14:paraId="0BADC367" w14:textId="77777777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4066" w:type="dxa"/>
            <w:shd w:val="clear" w:color="auto" w:fill="99CC00"/>
            <w:vAlign w:val="center"/>
          </w:tcPr>
          <w:p w14:paraId="242DEFB5" w14:textId="77777777" w:rsidR="003E3967" w:rsidRPr="00275974" w:rsidRDefault="003E3967" w:rsidP="003E3967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52" w:type="dxa"/>
            <w:shd w:val="clear" w:color="auto" w:fill="99CC00"/>
            <w:vAlign w:val="center"/>
          </w:tcPr>
          <w:p w14:paraId="1151A974" w14:textId="77777777" w:rsidR="003E3967" w:rsidRPr="00275974" w:rsidRDefault="003E3967" w:rsidP="003E3967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501" w:type="dxa"/>
            <w:shd w:val="clear" w:color="auto" w:fill="99CC00"/>
            <w:vAlign w:val="center"/>
          </w:tcPr>
          <w:p w14:paraId="04DE918C" w14:textId="08006EA9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3E3967" w:rsidRPr="008862BD" w14:paraId="2D4EBC31" w14:textId="77777777" w:rsidTr="00CA44B8">
        <w:trPr>
          <w:trHeight w:val="574"/>
        </w:trPr>
        <w:tc>
          <w:tcPr>
            <w:tcW w:w="0" w:type="auto"/>
            <w:shd w:val="clear" w:color="auto" w:fill="99CC00"/>
            <w:vAlign w:val="center"/>
          </w:tcPr>
          <w:p w14:paraId="3F0F904C" w14:textId="6C659D13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4066" w:type="dxa"/>
            <w:vAlign w:val="center"/>
          </w:tcPr>
          <w:p w14:paraId="7DE99648" w14:textId="67E48677" w:rsidR="003E3967" w:rsidRPr="00275974" w:rsidRDefault="003E3967" w:rsidP="003E396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Ing. Manuel Neftalí Tun García</w:t>
            </w:r>
          </w:p>
        </w:tc>
        <w:tc>
          <w:tcPr>
            <w:tcW w:w="2552" w:type="dxa"/>
            <w:vMerge w:val="restart"/>
            <w:vAlign w:val="center"/>
          </w:tcPr>
          <w:p w14:paraId="05373781" w14:textId="77777777" w:rsidR="003E3967" w:rsidRPr="00275974" w:rsidRDefault="003E3967" w:rsidP="003E3967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501" w:type="dxa"/>
            <w:vMerge w:val="restart"/>
            <w:vAlign w:val="center"/>
          </w:tcPr>
          <w:p w14:paraId="1B6EF774" w14:textId="77777777" w:rsidR="003E3967" w:rsidRPr="00275974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3E3967" w:rsidRPr="008862BD" w14:paraId="4B419F3C" w14:textId="77777777" w:rsidTr="00CA44B8">
        <w:trPr>
          <w:trHeight w:val="389"/>
        </w:trPr>
        <w:tc>
          <w:tcPr>
            <w:tcW w:w="0" w:type="auto"/>
            <w:shd w:val="clear" w:color="auto" w:fill="99CC00"/>
            <w:vAlign w:val="center"/>
          </w:tcPr>
          <w:p w14:paraId="409662F7" w14:textId="68CE8D33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4066" w:type="dxa"/>
            <w:vAlign w:val="center"/>
          </w:tcPr>
          <w:p w14:paraId="3E300590" w14:textId="75DCDD03" w:rsidR="003E3967" w:rsidRPr="00275974" w:rsidRDefault="003E3967" w:rsidP="003E396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Director, Dirección Municipal de Planificación</w:t>
            </w:r>
          </w:p>
        </w:tc>
        <w:tc>
          <w:tcPr>
            <w:tcW w:w="2552" w:type="dxa"/>
            <w:vMerge/>
            <w:vAlign w:val="center"/>
          </w:tcPr>
          <w:p w14:paraId="5352479E" w14:textId="77777777" w:rsidR="003E3967" w:rsidRPr="00275974" w:rsidRDefault="003E3967" w:rsidP="003E3967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501" w:type="dxa"/>
            <w:vMerge/>
            <w:vAlign w:val="center"/>
          </w:tcPr>
          <w:p w14:paraId="0835AB25" w14:textId="77777777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3E3967" w:rsidRPr="008862BD" w14:paraId="7D0663BA" w14:textId="77777777" w:rsidTr="00CA44B8">
        <w:trPr>
          <w:trHeight w:val="355"/>
        </w:trPr>
        <w:tc>
          <w:tcPr>
            <w:tcW w:w="0" w:type="auto"/>
            <w:shd w:val="clear" w:color="auto" w:fill="99CC00"/>
            <w:vAlign w:val="center"/>
          </w:tcPr>
          <w:p w14:paraId="429BBC1A" w14:textId="77777777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4066" w:type="dxa"/>
            <w:shd w:val="clear" w:color="auto" w:fill="99CC00"/>
            <w:vAlign w:val="center"/>
          </w:tcPr>
          <w:p w14:paraId="6B8BF674" w14:textId="5F4056BB" w:rsidR="003E3967" w:rsidRPr="00275974" w:rsidRDefault="003E3967" w:rsidP="003E3967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52" w:type="dxa"/>
            <w:shd w:val="clear" w:color="auto" w:fill="99CC00"/>
            <w:vAlign w:val="center"/>
          </w:tcPr>
          <w:p w14:paraId="737AA524" w14:textId="77777777" w:rsidR="003E3967" w:rsidRPr="00275974" w:rsidRDefault="003E3967" w:rsidP="003E3967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501" w:type="dxa"/>
            <w:shd w:val="clear" w:color="auto" w:fill="99CC00"/>
            <w:vAlign w:val="center"/>
          </w:tcPr>
          <w:p w14:paraId="431E5096" w14:textId="2F1FC601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3E3967" w:rsidRPr="008862BD" w14:paraId="007C3FEF" w14:textId="77777777" w:rsidTr="007208B6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2F86988A" w14:textId="716BD706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4066" w:type="dxa"/>
          </w:tcPr>
          <w:p w14:paraId="0597B8EB" w14:textId="5FA71D61" w:rsidR="003E3967" w:rsidRPr="00275974" w:rsidRDefault="003E3967" w:rsidP="003E3967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0C5907">
              <w:rPr>
                <w:rFonts w:ascii="Century Gothic" w:hAnsi="Century Gothic"/>
                <w:b/>
                <w:bCs/>
              </w:rPr>
              <w:t>Lic. Yener Haroldo Plaza Natareno</w:t>
            </w:r>
          </w:p>
        </w:tc>
        <w:tc>
          <w:tcPr>
            <w:tcW w:w="2552" w:type="dxa"/>
            <w:vMerge w:val="restart"/>
            <w:vAlign w:val="center"/>
          </w:tcPr>
          <w:p w14:paraId="289DD31C" w14:textId="77777777" w:rsidR="003E3967" w:rsidRPr="00275974" w:rsidRDefault="003E3967" w:rsidP="003E3967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501" w:type="dxa"/>
            <w:vMerge w:val="restart"/>
            <w:vAlign w:val="center"/>
          </w:tcPr>
          <w:p w14:paraId="49238087" w14:textId="77777777" w:rsidR="003E3967" w:rsidRPr="00275974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3E3967" w:rsidRPr="008862BD" w14:paraId="54DFABBF" w14:textId="77777777" w:rsidTr="007208B6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78FC2C09" w14:textId="28E3C174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4066" w:type="dxa"/>
          </w:tcPr>
          <w:p w14:paraId="7D3250AC" w14:textId="291EF5F8" w:rsidR="003E3967" w:rsidRPr="008862BD" w:rsidRDefault="003E3967" w:rsidP="003E3967">
            <w:pPr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0C5907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2552" w:type="dxa"/>
            <w:vMerge/>
            <w:vAlign w:val="center"/>
          </w:tcPr>
          <w:p w14:paraId="0E4DDCFC" w14:textId="77777777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3501" w:type="dxa"/>
            <w:vMerge/>
            <w:vAlign w:val="center"/>
          </w:tcPr>
          <w:p w14:paraId="5C2364D2" w14:textId="77777777" w:rsidR="003E3967" w:rsidRPr="008862BD" w:rsidRDefault="003E3967" w:rsidP="003E396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132D9A52" w14:textId="1493B2FF" w:rsidR="007D33A0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176AEEEC" w14:textId="77777777" w:rsidR="00CA44B8" w:rsidRDefault="00CA44B8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8A33097" w14:textId="76CC915C" w:rsidR="007D33A0" w:rsidRPr="002B2519" w:rsidRDefault="00615417" w:rsidP="00BE359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2B2519">
        <w:rPr>
          <w:rFonts w:ascii="Century Gothic" w:hAnsi="Century Gothic"/>
          <w:b/>
          <w:bCs/>
          <w:sz w:val="36"/>
          <w:szCs w:val="36"/>
        </w:rPr>
        <w:lastRenderedPageBreak/>
        <w:t>Objetivo</w:t>
      </w:r>
    </w:p>
    <w:p w14:paraId="1293819A" w14:textId="6A2B409F" w:rsidR="006B2102" w:rsidRDefault="00D134CD" w:rsidP="002B251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Actualización mensual de avance físico de proyectos, en la plataforma del Sistema Nacional de Información Pública SNIP.</w:t>
      </w:r>
    </w:p>
    <w:p w14:paraId="47AE07E8" w14:textId="5516029C" w:rsidR="002C793B" w:rsidRPr="008862BD" w:rsidRDefault="007D33A0" w:rsidP="00BE359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t>Marco Legal</w:t>
      </w:r>
    </w:p>
    <w:p w14:paraId="0E044612" w14:textId="7E872AC0" w:rsidR="00F35F5C" w:rsidRPr="00BE3597" w:rsidRDefault="00F35F5C" w:rsidP="00BE3597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Constitución Política de la República de Guatemala, CPRG.</w:t>
      </w:r>
    </w:p>
    <w:p w14:paraId="5500E147" w14:textId="77777777" w:rsidR="00F35F5C" w:rsidRPr="00BE3597" w:rsidRDefault="00F35F5C" w:rsidP="00BE3597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Artículo 253.</w:t>
      </w:r>
    </w:p>
    <w:p w14:paraId="1DCF383D" w14:textId="77777777" w:rsidR="00F35F5C" w:rsidRPr="00BE3597" w:rsidRDefault="00F35F5C" w:rsidP="00BE3597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Ley Orgánica del Presupuesto, Decreto Número 101-97.</w:t>
      </w:r>
    </w:p>
    <w:p w14:paraId="31AD2EAA" w14:textId="77777777" w:rsidR="00F35F5C" w:rsidRPr="00BE3597" w:rsidRDefault="00F35F5C" w:rsidP="00BE3597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Artículo 42.</w:t>
      </w:r>
    </w:p>
    <w:p w14:paraId="5BE3F391" w14:textId="77777777" w:rsidR="00F35F5C" w:rsidRPr="00BE3597" w:rsidRDefault="00F35F5C" w:rsidP="00BE3597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Ley del Presupuesto General de Ingresos y Egresos del Estado para el ejercicio 2025, Decreto Número 36-2024</w:t>
      </w:r>
    </w:p>
    <w:p w14:paraId="5303EA46" w14:textId="77777777" w:rsidR="00F35F5C" w:rsidRPr="00BE3597" w:rsidRDefault="00F35F5C" w:rsidP="00BE3597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Artículo 81, 88.</w:t>
      </w:r>
    </w:p>
    <w:p w14:paraId="583F6F26" w14:textId="77777777" w:rsidR="00F35F5C" w:rsidRPr="00BE3597" w:rsidRDefault="00F35F5C" w:rsidP="00BE3597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Código Municipal, Decreto Número 12-2002.</w:t>
      </w:r>
    </w:p>
    <w:p w14:paraId="1497D7FA" w14:textId="77777777" w:rsidR="00F35F5C" w:rsidRPr="00BE3597" w:rsidRDefault="00F35F5C" w:rsidP="00BE3597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Artículo 135, segundo (2°) párrafo.</w:t>
      </w:r>
    </w:p>
    <w:p w14:paraId="20455D20" w14:textId="77777777" w:rsidR="00F35F5C" w:rsidRPr="00BE3597" w:rsidRDefault="00F35F5C" w:rsidP="00BE3597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Normas del Sistema Nacional de Inversión Pública, -SNIP- 2025</w:t>
      </w:r>
    </w:p>
    <w:p w14:paraId="506F2CBC" w14:textId="4AA2AC28" w:rsidR="00C4736B" w:rsidRPr="00BE3597" w:rsidRDefault="00F35F5C" w:rsidP="00BE3597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Normas Generales, 1.15 Monitoreo y Seguimiento de Proyectos en Ejecución, 1.15.3, 1.15.4, 1.15.5.</w:t>
      </w:r>
    </w:p>
    <w:p w14:paraId="5284DA7E" w14:textId="77777777" w:rsidR="00BE3597" w:rsidRDefault="00BE3597" w:rsidP="00BE359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1489DF1" w14:textId="2F5106F6" w:rsidR="00BE3597" w:rsidRPr="00BE3597" w:rsidRDefault="00BE3597" w:rsidP="00BE359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BE3597">
        <w:rPr>
          <w:rFonts w:ascii="Century Gothic" w:hAnsi="Century Gothic"/>
          <w:b/>
          <w:bCs/>
          <w:sz w:val="36"/>
          <w:szCs w:val="36"/>
        </w:rPr>
        <w:t>Normas de Aplicación Interna</w:t>
      </w:r>
    </w:p>
    <w:p w14:paraId="2F9A7E20" w14:textId="77777777" w:rsidR="00BE3597" w:rsidRDefault="00BE3597" w:rsidP="00BE359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FBD123F" w14:textId="77777777" w:rsidR="006A3B25" w:rsidRDefault="006A3B25" w:rsidP="00BE359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CD64BCF" w14:textId="4DBEE66B" w:rsidR="00BE3597" w:rsidRDefault="00BE3597" w:rsidP="00BE359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Usuarios</w:t>
      </w:r>
    </w:p>
    <w:p w14:paraId="1426F248" w14:textId="77777777" w:rsidR="00BE3597" w:rsidRPr="00BE3597" w:rsidRDefault="00BE3597" w:rsidP="00BE3597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Personal de la Dirección Municipal de Planificación -DMP-.</w:t>
      </w:r>
    </w:p>
    <w:p w14:paraId="352982D5" w14:textId="77777777" w:rsidR="00BE3597" w:rsidRPr="00BE3597" w:rsidRDefault="00BE3597" w:rsidP="00BE3597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Director Municipal de Planificación</w:t>
      </w:r>
    </w:p>
    <w:p w14:paraId="148CF495" w14:textId="77777777" w:rsidR="00BE3597" w:rsidRPr="00BE3597" w:rsidRDefault="00BE3597" w:rsidP="00BE3597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Supervisor de proyectos municipales</w:t>
      </w:r>
    </w:p>
    <w:p w14:paraId="7D64834D" w14:textId="0A768932" w:rsidR="007D33A0" w:rsidRPr="00BE3597" w:rsidRDefault="005831A0" w:rsidP="00BE359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BE3597">
        <w:rPr>
          <w:rFonts w:ascii="Century Gothic" w:hAnsi="Century Gothic"/>
          <w:b/>
          <w:bCs/>
          <w:sz w:val="36"/>
          <w:szCs w:val="36"/>
        </w:rPr>
        <w:t>Requisitos</w:t>
      </w:r>
    </w:p>
    <w:p w14:paraId="0EF201B9" w14:textId="0F456854" w:rsidR="005645AD" w:rsidRPr="00BE3597" w:rsidRDefault="005645AD" w:rsidP="00BE3597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Reporte Ejecución de Egresos del Ejercicio (periodo mes ejecutado)</w:t>
      </w:r>
    </w:p>
    <w:p w14:paraId="74C00BEB" w14:textId="24E42865" w:rsidR="001954B3" w:rsidRPr="00BE3597" w:rsidRDefault="001954B3" w:rsidP="00BE3597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Reporte Detalle de Expedientes</w:t>
      </w:r>
    </w:p>
    <w:p w14:paraId="5FEE6D3A" w14:textId="2ADB12A0" w:rsidR="00EE6C59" w:rsidRPr="00BE3597" w:rsidRDefault="00EE6C59" w:rsidP="00BE3597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Reporte Cuota Patronal</w:t>
      </w:r>
    </w:p>
    <w:p w14:paraId="31664F6E" w14:textId="08044497" w:rsidR="00EE6C59" w:rsidRPr="00BE3597" w:rsidRDefault="00EE6C59" w:rsidP="00BE3597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Reporte Detalle de Gastos</w:t>
      </w:r>
    </w:p>
    <w:p w14:paraId="26C8045D" w14:textId="5E007DBB" w:rsidR="00EE6C59" w:rsidRPr="00BE3597" w:rsidRDefault="00EE6C59" w:rsidP="00BE3597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Reporte Ejecuciones</w:t>
      </w:r>
    </w:p>
    <w:p w14:paraId="53E44CE5" w14:textId="12FE3CAD" w:rsidR="00EE6C59" w:rsidRPr="00BE3597" w:rsidRDefault="00EE6C59" w:rsidP="00BE3597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Reporte Planillas</w:t>
      </w:r>
    </w:p>
    <w:p w14:paraId="3D23E833" w14:textId="1823A9D1" w:rsidR="002E139D" w:rsidRPr="00BE3597" w:rsidRDefault="002E139D" w:rsidP="00BE3597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BE3597">
        <w:rPr>
          <w:rFonts w:ascii="Century Gothic" w:hAnsi="Century Gothic"/>
          <w:sz w:val="24"/>
          <w:szCs w:val="24"/>
        </w:rPr>
        <w:t>Expediente/informe de cada encargado de programa, ejecución mensual</w:t>
      </w:r>
    </w:p>
    <w:p w14:paraId="2B3671AC" w14:textId="77777777" w:rsidR="007038F7" w:rsidRDefault="007038F7" w:rsidP="00D13CBF">
      <w:pPr>
        <w:rPr>
          <w:rFonts w:ascii="Century Gothic" w:hAnsi="Century Gothic"/>
          <w:sz w:val="24"/>
          <w:szCs w:val="24"/>
        </w:rPr>
      </w:pPr>
    </w:p>
    <w:p w14:paraId="1F94A755" w14:textId="77777777" w:rsidR="00EE6C59" w:rsidRDefault="00EE6C59" w:rsidP="00D13CBF">
      <w:pPr>
        <w:rPr>
          <w:rFonts w:ascii="Century Gothic" w:hAnsi="Century Gothic"/>
          <w:sz w:val="24"/>
          <w:szCs w:val="24"/>
        </w:rPr>
      </w:pPr>
    </w:p>
    <w:p w14:paraId="5C21B6A8" w14:textId="77777777" w:rsidR="002E139D" w:rsidRDefault="002E139D" w:rsidP="00D13CBF">
      <w:pPr>
        <w:rPr>
          <w:rFonts w:ascii="Century Gothic" w:hAnsi="Century Gothic"/>
          <w:sz w:val="24"/>
          <w:szCs w:val="24"/>
        </w:rPr>
      </w:pPr>
    </w:p>
    <w:p w14:paraId="0C28F949" w14:textId="77777777" w:rsidR="00512FF2" w:rsidRDefault="00512FF2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6C653522" w14:textId="00F77D61" w:rsidR="00D42413" w:rsidRDefault="00D42413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7B69808B" w14:textId="79B1CE23" w:rsidR="007D33A0" w:rsidRPr="008862BD" w:rsidRDefault="00BE359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Narrativa</w:t>
      </w:r>
      <w:r w:rsidR="00D6057B">
        <w:rPr>
          <w:rFonts w:ascii="Century Gothic" w:hAnsi="Century Gothic"/>
          <w:b/>
          <w:bCs/>
          <w:sz w:val="36"/>
          <w:szCs w:val="36"/>
        </w:rPr>
        <w:t xml:space="preserve"> </w:t>
      </w:r>
    </w:p>
    <w:tbl>
      <w:tblPr>
        <w:tblStyle w:val="TableGrid"/>
        <w:tblW w:w="4911" w:type="pct"/>
        <w:tblLook w:val="04A0" w:firstRow="1" w:lastRow="0" w:firstColumn="1" w:lastColumn="0" w:noHBand="0" w:noVBand="1"/>
      </w:tblPr>
      <w:tblGrid>
        <w:gridCol w:w="703"/>
        <w:gridCol w:w="9215"/>
        <w:gridCol w:w="3402"/>
      </w:tblGrid>
      <w:tr w:rsidR="007D33A0" w:rsidRPr="008862BD" w14:paraId="0AEC57BC" w14:textId="77777777" w:rsidTr="006A3B25">
        <w:tc>
          <w:tcPr>
            <w:tcW w:w="264" w:type="pct"/>
            <w:shd w:val="clear" w:color="auto" w:fill="92D050"/>
          </w:tcPr>
          <w:p w14:paraId="31CF9239" w14:textId="448A5A99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459" w:type="pct"/>
            <w:shd w:val="clear" w:color="auto" w:fill="92D050"/>
          </w:tcPr>
          <w:p w14:paraId="0329670F" w14:textId="3ED47F43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1277" w:type="pct"/>
            <w:shd w:val="clear" w:color="auto" w:fill="92D050"/>
          </w:tcPr>
          <w:p w14:paraId="66634F76" w14:textId="748B3126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171EAF" w:rsidRPr="0001246A" w14:paraId="03D5B2BA" w14:textId="77777777" w:rsidTr="006A3B25">
        <w:trPr>
          <w:trHeight w:val="642"/>
        </w:trPr>
        <w:tc>
          <w:tcPr>
            <w:tcW w:w="264" w:type="pct"/>
            <w:vAlign w:val="center"/>
          </w:tcPr>
          <w:p w14:paraId="27EE8710" w14:textId="5707CEC1" w:rsidR="00171EAF" w:rsidRPr="003E3967" w:rsidRDefault="00171EAF" w:rsidP="000072A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3459" w:type="pct"/>
          </w:tcPr>
          <w:p w14:paraId="6A05DCC3" w14:textId="77777777" w:rsidR="003E3967" w:rsidRPr="003E3967" w:rsidRDefault="002C77E1" w:rsidP="00232D05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 xml:space="preserve">Remitir a </w:t>
            </w:r>
            <w:r w:rsidR="00151A41" w:rsidRPr="003E3967">
              <w:rPr>
                <w:rFonts w:ascii="Century Gothic" w:hAnsi="Century Gothic"/>
                <w:sz w:val="24"/>
                <w:szCs w:val="24"/>
              </w:rPr>
              <w:t>encargados de diferentes programas de inversión social</w:t>
            </w:r>
            <w:r w:rsidR="008632BA" w:rsidRPr="003E3967">
              <w:rPr>
                <w:rFonts w:ascii="Century Gothic" w:hAnsi="Century Gothic"/>
                <w:sz w:val="24"/>
                <w:szCs w:val="24"/>
              </w:rPr>
              <w:t>:</w:t>
            </w:r>
          </w:p>
          <w:p w14:paraId="7017EE30" w14:textId="2D55FB59" w:rsidR="003E3967" w:rsidRPr="003E3967" w:rsidRDefault="002C77E1" w:rsidP="003E3967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 xml:space="preserve">Reporte Ejecución de Egresos del Ejercicio </w:t>
            </w:r>
          </w:p>
          <w:p w14:paraId="04C03A65" w14:textId="4671BFC3" w:rsidR="00171EAF" w:rsidRPr="003E3967" w:rsidRDefault="002C77E1" w:rsidP="003E3967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Detalle de Expedientes</w:t>
            </w:r>
            <w:r w:rsidR="00744155" w:rsidRPr="003E3967">
              <w:rPr>
                <w:rFonts w:ascii="Century Gothic" w:hAnsi="Century Gothic"/>
                <w:sz w:val="24"/>
                <w:szCs w:val="24"/>
              </w:rPr>
              <w:t>,</w:t>
            </w:r>
            <w:r w:rsidRPr="003E3967">
              <w:rPr>
                <w:rFonts w:ascii="Century Gothic" w:hAnsi="Century Gothic"/>
                <w:sz w:val="24"/>
                <w:szCs w:val="24"/>
              </w:rPr>
              <w:t xml:space="preserve"> por cada programa al mes anterior ejecutado.</w:t>
            </w:r>
            <w:r w:rsidR="003E3967" w:rsidRPr="003E3967">
              <w:rPr>
                <w:rFonts w:ascii="Century Gothic" w:hAnsi="Century Gothic"/>
                <w:sz w:val="24"/>
                <w:szCs w:val="24"/>
              </w:rPr>
              <w:t xml:space="preserve"> (primero 2 días del mes)</w:t>
            </w:r>
          </w:p>
        </w:tc>
        <w:tc>
          <w:tcPr>
            <w:tcW w:w="1277" w:type="pct"/>
          </w:tcPr>
          <w:p w14:paraId="5D8CF667" w14:textId="7EB0488B" w:rsidR="00171EAF" w:rsidRPr="003E3967" w:rsidRDefault="00393492" w:rsidP="00DA32E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Asistente Administrativo DMP</w:t>
            </w:r>
            <w:r w:rsidR="00B8620B" w:rsidRPr="003E3967"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</w:tc>
      </w:tr>
      <w:tr w:rsidR="003E3967" w:rsidRPr="0001246A" w14:paraId="6CBA9BE8" w14:textId="77777777" w:rsidTr="006A3B25">
        <w:trPr>
          <w:trHeight w:val="642"/>
        </w:trPr>
        <w:tc>
          <w:tcPr>
            <w:tcW w:w="264" w:type="pct"/>
            <w:vAlign w:val="center"/>
          </w:tcPr>
          <w:p w14:paraId="02ED3343" w14:textId="32D036D6" w:rsidR="003E3967" w:rsidRPr="003E3967" w:rsidRDefault="003E3967" w:rsidP="000072A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3459" w:type="pct"/>
          </w:tcPr>
          <w:p w14:paraId="7723C5D6" w14:textId="77777777" w:rsidR="003E3967" w:rsidRPr="003E3967" w:rsidRDefault="003E3967" w:rsidP="00232D05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 xml:space="preserve">Remitir información de gastos de Inversión Social correspondientes a: </w:t>
            </w:r>
          </w:p>
          <w:p w14:paraId="19077663" w14:textId="5CF48A2B" w:rsidR="003E3967" w:rsidRPr="003E3967" w:rsidRDefault="003E3967" w:rsidP="003E396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Cuota Patronal,</w:t>
            </w:r>
          </w:p>
          <w:p w14:paraId="7B024548" w14:textId="2F25656D" w:rsidR="003E3967" w:rsidRPr="003E3967" w:rsidRDefault="003E3967" w:rsidP="003E396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 xml:space="preserve">Detalle de Gastos, </w:t>
            </w:r>
          </w:p>
          <w:p w14:paraId="3471CCD4" w14:textId="2511D3CC" w:rsidR="003E3967" w:rsidRPr="003E3967" w:rsidRDefault="003E3967" w:rsidP="003E396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 xml:space="preserve">Ejecuciones y, </w:t>
            </w:r>
          </w:p>
          <w:p w14:paraId="60D43D52" w14:textId="74C2ECAA" w:rsidR="003E3967" w:rsidRPr="003E3967" w:rsidRDefault="003E3967" w:rsidP="003E396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Planillas (primeros 5 días del mes)</w:t>
            </w:r>
          </w:p>
        </w:tc>
        <w:tc>
          <w:tcPr>
            <w:tcW w:w="1277" w:type="pct"/>
            <w:vMerge w:val="restart"/>
            <w:vAlign w:val="center"/>
          </w:tcPr>
          <w:p w14:paraId="49416488" w14:textId="294A0C7D" w:rsidR="003E3967" w:rsidRPr="003E3967" w:rsidRDefault="003E3967" w:rsidP="003E39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Encargado de DAFIM</w:t>
            </w:r>
          </w:p>
        </w:tc>
      </w:tr>
      <w:tr w:rsidR="003E3967" w:rsidRPr="0001246A" w14:paraId="341B0222" w14:textId="77777777" w:rsidTr="006A3B25">
        <w:trPr>
          <w:trHeight w:val="642"/>
        </w:trPr>
        <w:tc>
          <w:tcPr>
            <w:tcW w:w="264" w:type="pct"/>
            <w:vAlign w:val="center"/>
          </w:tcPr>
          <w:p w14:paraId="1013D924" w14:textId="51A2962E" w:rsidR="003E3967" w:rsidRPr="003E3967" w:rsidRDefault="003E3967" w:rsidP="000072A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3</w:t>
            </w:r>
          </w:p>
        </w:tc>
        <w:tc>
          <w:tcPr>
            <w:tcW w:w="3459" w:type="pct"/>
          </w:tcPr>
          <w:p w14:paraId="47EB9B6E" w14:textId="77777777" w:rsidR="003E3967" w:rsidRDefault="003E3967" w:rsidP="00232D05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 xml:space="preserve">Recibir Reporte </w:t>
            </w:r>
          </w:p>
          <w:p w14:paraId="5C928D04" w14:textId="77777777" w:rsidR="003E3967" w:rsidRPr="003E3967" w:rsidRDefault="003E3967" w:rsidP="003E396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 xml:space="preserve">Ejecución de Egresos del Ejercicio, </w:t>
            </w:r>
          </w:p>
          <w:p w14:paraId="042D944A" w14:textId="77777777" w:rsidR="003E3967" w:rsidRPr="003E3967" w:rsidRDefault="003E3967" w:rsidP="003E396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 xml:space="preserve">Detalle de Expedientes, </w:t>
            </w:r>
          </w:p>
          <w:p w14:paraId="55E1E46B" w14:textId="77777777" w:rsidR="003E3967" w:rsidRPr="003E3967" w:rsidRDefault="003E3967" w:rsidP="003E396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 xml:space="preserve">Cuota Patronal, </w:t>
            </w:r>
          </w:p>
          <w:p w14:paraId="10889745" w14:textId="77777777" w:rsidR="003E3967" w:rsidRPr="003E3967" w:rsidRDefault="003E3967" w:rsidP="003E396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 xml:space="preserve">Detalle de Gastos, </w:t>
            </w:r>
          </w:p>
          <w:p w14:paraId="5D5EED02" w14:textId="77777777" w:rsidR="003E3967" w:rsidRPr="003E3967" w:rsidRDefault="003E3967" w:rsidP="003E396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 xml:space="preserve">Ejecuciones y </w:t>
            </w:r>
          </w:p>
          <w:p w14:paraId="647DED07" w14:textId="631FFDF8" w:rsidR="003E3967" w:rsidRPr="003E3967" w:rsidRDefault="003E3967" w:rsidP="003E396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Planillas</w:t>
            </w:r>
          </w:p>
        </w:tc>
        <w:tc>
          <w:tcPr>
            <w:tcW w:w="1277" w:type="pct"/>
            <w:vMerge/>
          </w:tcPr>
          <w:p w14:paraId="4DFB132A" w14:textId="77777777" w:rsidR="003E3967" w:rsidRPr="003E3967" w:rsidRDefault="003E3967" w:rsidP="00DA32E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D15C82" w:rsidRPr="0001246A" w14:paraId="3BD13661" w14:textId="77777777" w:rsidTr="006A3B25">
        <w:trPr>
          <w:trHeight w:val="642"/>
        </w:trPr>
        <w:tc>
          <w:tcPr>
            <w:tcW w:w="264" w:type="pct"/>
            <w:vAlign w:val="center"/>
          </w:tcPr>
          <w:p w14:paraId="42492860" w14:textId="63F17327" w:rsidR="00D15C82" w:rsidRPr="003E3967" w:rsidRDefault="00D21DB8" w:rsidP="000072A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4</w:t>
            </w:r>
          </w:p>
        </w:tc>
        <w:tc>
          <w:tcPr>
            <w:tcW w:w="3459" w:type="pct"/>
            <w:vAlign w:val="center"/>
          </w:tcPr>
          <w:p w14:paraId="0B9EB3B5" w14:textId="50844DD1" w:rsidR="00D15C82" w:rsidRPr="003E3967" w:rsidRDefault="00393492" w:rsidP="00531C19">
            <w:pPr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Remi</w:t>
            </w:r>
            <w:r w:rsidR="00B93F3B" w:rsidRPr="003E3967">
              <w:rPr>
                <w:rFonts w:ascii="Century Gothic" w:hAnsi="Century Gothic"/>
                <w:sz w:val="24"/>
                <w:szCs w:val="24"/>
              </w:rPr>
              <w:t>tir</w:t>
            </w:r>
            <w:r w:rsidRPr="003E3967">
              <w:rPr>
                <w:rFonts w:ascii="Century Gothic" w:hAnsi="Century Gothic"/>
                <w:sz w:val="24"/>
                <w:szCs w:val="24"/>
              </w:rPr>
              <w:t xml:space="preserve"> informe de avance físico y financiero programa de inversión social</w:t>
            </w:r>
            <w:r w:rsidR="00240D89" w:rsidRPr="003E3967">
              <w:rPr>
                <w:rFonts w:ascii="Century Gothic" w:hAnsi="Century Gothic"/>
                <w:sz w:val="24"/>
                <w:szCs w:val="24"/>
              </w:rPr>
              <w:t xml:space="preserve"> cotejado y cuadrado al mes anterior</w:t>
            </w:r>
            <w:r w:rsidR="002D7D79" w:rsidRPr="003E3967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193462" w:rsidRPr="003E3967">
              <w:rPr>
                <w:rFonts w:ascii="Century Gothic" w:hAnsi="Century Gothic"/>
                <w:sz w:val="24"/>
                <w:szCs w:val="24"/>
              </w:rPr>
              <w:t>con la información remitida</w:t>
            </w:r>
            <w:r w:rsidR="003E3967" w:rsidRPr="003E3967">
              <w:rPr>
                <w:rFonts w:ascii="Century Gothic" w:hAnsi="Century Gothic"/>
                <w:sz w:val="24"/>
                <w:szCs w:val="24"/>
              </w:rPr>
              <w:t xml:space="preserve"> (a partir de los 5 días del mes)</w:t>
            </w:r>
          </w:p>
        </w:tc>
        <w:tc>
          <w:tcPr>
            <w:tcW w:w="1277" w:type="pct"/>
          </w:tcPr>
          <w:p w14:paraId="6260EF82" w14:textId="6F5C421E" w:rsidR="00D15C82" w:rsidRPr="003E3967" w:rsidRDefault="00393492" w:rsidP="00DA32E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Encargado de cada programa de inversión social</w:t>
            </w:r>
            <w:r w:rsidR="002D7D79" w:rsidRPr="003E3967"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</w:tc>
      </w:tr>
      <w:tr w:rsidR="00D15C82" w:rsidRPr="0001246A" w14:paraId="0B6EB72C" w14:textId="77777777" w:rsidTr="006A3B25">
        <w:tc>
          <w:tcPr>
            <w:tcW w:w="264" w:type="pct"/>
            <w:vAlign w:val="center"/>
          </w:tcPr>
          <w:p w14:paraId="2639B129" w14:textId="029A15B7" w:rsidR="00D15C82" w:rsidRPr="003E3967" w:rsidRDefault="00D21DB8" w:rsidP="000072A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3459" w:type="pct"/>
          </w:tcPr>
          <w:p w14:paraId="5B701C7D" w14:textId="21AABE9B" w:rsidR="0078634D" w:rsidRPr="003E3967" w:rsidRDefault="0078634D" w:rsidP="0001246A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Recibir informe</w:t>
            </w:r>
          </w:p>
          <w:p w14:paraId="2E5F108F" w14:textId="1D94D613" w:rsidR="0078634D" w:rsidRPr="003E3967" w:rsidRDefault="0078634D" w:rsidP="003E396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Aprobar ingreso de informe</w:t>
            </w:r>
          </w:p>
          <w:p w14:paraId="0E4E26F2" w14:textId="12564AE9" w:rsidR="00D15C82" w:rsidRPr="003E3967" w:rsidRDefault="0078634D" w:rsidP="003E396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No aprobar ingreso, devolución al solicitante</w:t>
            </w:r>
          </w:p>
        </w:tc>
        <w:tc>
          <w:tcPr>
            <w:tcW w:w="1277" w:type="pct"/>
          </w:tcPr>
          <w:p w14:paraId="6738DC77" w14:textId="5C6295FF" w:rsidR="00D15C82" w:rsidRPr="003E3967" w:rsidRDefault="00B0407A" w:rsidP="00DA32E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Asistente Administrativo DMP</w:t>
            </w:r>
          </w:p>
        </w:tc>
      </w:tr>
      <w:tr w:rsidR="00171EAF" w:rsidRPr="0001246A" w14:paraId="5C682DC6" w14:textId="77777777" w:rsidTr="006A3B25">
        <w:tc>
          <w:tcPr>
            <w:tcW w:w="264" w:type="pct"/>
            <w:vAlign w:val="center"/>
          </w:tcPr>
          <w:p w14:paraId="2419D6A1" w14:textId="40678042" w:rsidR="00171EAF" w:rsidRPr="003E3967" w:rsidRDefault="00D21DB8" w:rsidP="000072A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6</w:t>
            </w:r>
          </w:p>
        </w:tc>
        <w:tc>
          <w:tcPr>
            <w:tcW w:w="3459" w:type="pct"/>
          </w:tcPr>
          <w:p w14:paraId="1ABCD954" w14:textId="16F2A697" w:rsidR="0078634D" w:rsidRPr="003E3967" w:rsidRDefault="0078634D" w:rsidP="0001246A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Cotejar y aprobar información</w:t>
            </w:r>
          </w:p>
          <w:p w14:paraId="75EDAD1E" w14:textId="2A1BB7B1" w:rsidR="0078634D" w:rsidRPr="003E3967" w:rsidRDefault="0078634D" w:rsidP="003E396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Aprobar si corresponde información</w:t>
            </w:r>
          </w:p>
          <w:p w14:paraId="0E4BACB7" w14:textId="0E0532C9" w:rsidR="00171EAF" w:rsidRPr="003E3967" w:rsidRDefault="0078634D" w:rsidP="003E396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lastRenderedPageBreak/>
              <w:t>No aprobar, devolver para su corrección</w:t>
            </w:r>
          </w:p>
        </w:tc>
        <w:tc>
          <w:tcPr>
            <w:tcW w:w="1277" w:type="pct"/>
          </w:tcPr>
          <w:p w14:paraId="082DB43D" w14:textId="0C247A83" w:rsidR="00171EAF" w:rsidRPr="003E3967" w:rsidRDefault="00026FF1" w:rsidP="00DA32E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lastRenderedPageBreak/>
              <w:t>Asistente Administrativo DMP</w:t>
            </w:r>
          </w:p>
        </w:tc>
      </w:tr>
      <w:tr w:rsidR="00171EAF" w:rsidRPr="0001246A" w14:paraId="4FCA34FE" w14:textId="77777777" w:rsidTr="006A3B25">
        <w:tc>
          <w:tcPr>
            <w:tcW w:w="264" w:type="pct"/>
            <w:vAlign w:val="center"/>
          </w:tcPr>
          <w:p w14:paraId="2E8C33EF" w14:textId="4DC486A6" w:rsidR="00171EAF" w:rsidRPr="003E3967" w:rsidRDefault="00D21DB8" w:rsidP="000072A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3459" w:type="pct"/>
          </w:tcPr>
          <w:p w14:paraId="53B1193C" w14:textId="3154700A" w:rsidR="00171EAF" w:rsidRPr="003E3967" w:rsidRDefault="0078634D" w:rsidP="0001246A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Ingresar información en SNIP y emitir boleta de avance</w:t>
            </w:r>
          </w:p>
        </w:tc>
        <w:tc>
          <w:tcPr>
            <w:tcW w:w="1277" w:type="pct"/>
          </w:tcPr>
          <w:p w14:paraId="4C220297" w14:textId="13087CED" w:rsidR="00171EAF" w:rsidRPr="003E3967" w:rsidRDefault="00026FF1" w:rsidP="00E13259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Asistente Administrativo DMP</w:t>
            </w:r>
          </w:p>
        </w:tc>
      </w:tr>
      <w:tr w:rsidR="0078634D" w:rsidRPr="0001246A" w14:paraId="20D4866B" w14:textId="77777777" w:rsidTr="006A3B25">
        <w:tc>
          <w:tcPr>
            <w:tcW w:w="264" w:type="pct"/>
            <w:vAlign w:val="center"/>
          </w:tcPr>
          <w:p w14:paraId="27072844" w14:textId="31E32203" w:rsidR="0078634D" w:rsidRPr="003E3967" w:rsidRDefault="00D21DB8" w:rsidP="000072A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8</w:t>
            </w:r>
          </w:p>
        </w:tc>
        <w:tc>
          <w:tcPr>
            <w:tcW w:w="3459" w:type="pct"/>
          </w:tcPr>
          <w:p w14:paraId="58A0764B" w14:textId="02479E52" w:rsidR="0078634D" w:rsidRPr="003E3967" w:rsidRDefault="0078634D" w:rsidP="0001246A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Archiv</w:t>
            </w:r>
            <w:r w:rsidR="003E3967">
              <w:rPr>
                <w:rFonts w:ascii="Century Gothic" w:hAnsi="Century Gothic"/>
                <w:sz w:val="24"/>
                <w:szCs w:val="24"/>
              </w:rPr>
              <w:t>ar</w:t>
            </w:r>
            <w:r w:rsidRPr="003E3967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3E3967">
              <w:rPr>
                <w:rFonts w:ascii="Century Gothic" w:hAnsi="Century Gothic"/>
                <w:sz w:val="24"/>
                <w:szCs w:val="24"/>
              </w:rPr>
              <w:t>en</w:t>
            </w:r>
            <w:proofErr w:type="spellEnd"/>
            <w:r w:rsidRPr="003E3967">
              <w:rPr>
                <w:rFonts w:ascii="Century Gothic" w:hAnsi="Century Gothic"/>
                <w:sz w:val="24"/>
                <w:szCs w:val="24"/>
              </w:rPr>
              <w:t xml:space="preserve"> expediente de registro SNIP en DMP</w:t>
            </w:r>
          </w:p>
        </w:tc>
        <w:tc>
          <w:tcPr>
            <w:tcW w:w="1277" w:type="pct"/>
          </w:tcPr>
          <w:p w14:paraId="1EE70C6D" w14:textId="3BBCA7A9" w:rsidR="0078634D" w:rsidRPr="003E3967" w:rsidRDefault="0078634D" w:rsidP="00E13259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3E3967">
              <w:rPr>
                <w:rFonts w:ascii="Century Gothic" w:hAnsi="Century Gothic"/>
                <w:sz w:val="24"/>
                <w:szCs w:val="24"/>
              </w:rPr>
              <w:t>Asistente Administrativo DMP</w:t>
            </w:r>
          </w:p>
        </w:tc>
      </w:tr>
    </w:tbl>
    <w:p w14:paraId="2E5976D5" w14:textId="77777777" w:rsidR="007D33A0" w:rsidRPr="0001246A" w:rsidRDefault="007D33A0" w:rsidP="004A77F7">
      <w:pPr>
        <w:jc w:val="center"/>
        <w:rPr>
          <w:rFonts w:ascii="Century Gothic" w:hAnsi="Century Gothic"/>
          <w:sz w:val="36"/>
          <w:szCs w:val="36"/>
        </w:rPr>
      </w:pPr>
    </w:p>
    <w:p w14:paraId="12E4B958" w14:textId="6BA72987" w:rsidR="00370E9F" w:rsidRDefault="00370E9F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3D8DB99C" w14:textId="77777777" w:rsidR="003E3967" w:rsidRDefault="003E3967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555BFF47" w14:textId="77777777" w:rsidR="003E3967" w:rsidRDefault="003E3967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21CDB793" w14:textId="77777777" w:rsidR="003E3967" w:rsidRDefault="003E3967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14B6CB81" w14:textId="77777777" w:rsidR="003E3967" w:rsidRDefault="003E3967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6522D153" w14:textId="77777777" w:rsidR="003E3967" w:rsidRDefault="003E3967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4339D926" w14:textId="77777777" w:rsidR="003E3967" w:rsidRDefault="003E3967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14C5BB65" w14:textId="77777777" w:rsidR="003E3967" w:rsidRDefault="003E3967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65CCCE15" w14:textId="77777777" w:rsidR="003E3967" w:rsidRDefault="003E3967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2874C2A3" w14:textId="77777777" w:rsidR="003E3967" w:rsidRDefault="003E3967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3526C677" w14:textId="77777777" w:rsidR="003E3967" w:rsidRDefault="003E3967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185012E7" w14:textId="77777777" w:rsidR="003E3967" w:rsidRDefault="003E3967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27969408" w14:textId="77777777" w:rsidR="003E3967" w:rsidRDefault="003E3967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5AF48E39" w14:textId="16C2350A" w:rsidR="007D33A0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Diagrama</w:t>
      </w:r>
    </w:p>
    <w:p w14:paraId="16B6497F" w14:textId="27088CB7" w:rsidR="007D33A0" w:rsidRPr="008862BD" w:rsidRDefault="001D00DD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0E0B101E" wp14:editId="70517415">
            <wp:extent cx="7788925" cy="4626610"/>
            <wp:effectExtent l="0" t="0" r="2540" b="2540"/>
            <wp:docPr id="872532881" name="Picture 1" descr="A diagram of a proces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532881" name="Picture 1" descr="A diagram of a process&#10;&#10;AI-generated content may be incorrect."/>
                    <pic:cNvPicPr/>
                  </pic:nvPicPr>
                  <pic:blipFill rotWithShape="1">
                    <a:blip r:embed="rId9"/>
                    <a:srcRect b="11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2836" cy="46467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2ED02F" w14:textId="77777777" w:rsidR="00BE3597" w:rsidRDefault="00BE3597" w:rsidP="00BE3597">
      <w:pPr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  <w:r>
        <w:rPr>
          <w:rFonts w:ascii="Century Gothic" w:eastAsia="Century Gothic" w:hAnsi="Century Gothic" w:cs="Century Gothic"/>
          <w:b/>
          <w:sz w:val="36"/>
          <w:szCs w:val="36"/>
        </w:rPr>
        <w:lastRenderedPageBreak/>
        <w:t>Tabla de Anexos</w:t>
      </w:r>
    </w:p>
    <w:tbl>
      <w:tblPr>
        <w:tblW w:w="13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74"/>
        <w:gridCol w:w="11504"/>
      </w:tblGrid>
      <w:tr w:rsidR="00BE3597" w14:paraId="146C768E" w14:textId="77777777" w:rsidTr="00BE3597">
        <w:trPr>
          <w:trHeight w:val="470"/>
        </w:trPr>
        <w:tc>
          <w:tcPr>
            <w:tcW w:w="1674" w:type="dxa"/>
          </w:tcPr>
          <w:p w14:paraId="45F56E18" w14:textId="77777777" w:rsidR="00BE3597" w:rsidRDefault="00BE3597" w:rsidP="006A4AF4">
            <w:pPr>
              <w:jc w:val="center"/>
              <w:rPr>
                <w:rFonts w:ascii="Century Gothic" w:eastAsia="Century Gothic" w:hAnsi="Century Gothic" w:cs="Century Gothic"/>
                <w:b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b/>
                <w:sz w:val="36"/>
                <w:szCs w:val="36"/>
              </w:rPr>
              <w:t>No.</w:t>
            </w:r>
          </w:p>
        </w:tc>
        <w:tc>
          <w:tcPr>
            <w:tcW w:w="11504" w:type="dxa"/>
          </w:tcPr>
          <w:p w14:paraId="738D7272" w14:textId="77777777" w:rsidR="00BE3597" w:rsidRDefault="00BE3597" w:rsidP="006A4AF4">
            <w:pPr>
              <w:jc w:val="center"/>
              <w:rPr>
                <w:rFonts w:ascii="Century Gothic" w:eastAsia="Century Gothic" w:hAnsi="Century Gothic" w:cs="Century Gothic"/>
                <w:b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b/>
                <w:sz w:val="36"/>
                <w:szCs w:val="36"/>
              </w:rPr>
              <w:t>Anexo</w:t>
            </w:r>
          </w:p>
        </w:tc>
      </w:tr>
      <w:tr w:rsidR="00BE3597" w14:paraId="64B414EE" w14:textId="77777777" w:rsidTr="00BE3597">
        <w:trPr>
          <w:trHeight w:val="399"/>
        </w:trPr>
        <w:tc>
          <w:tcPr>
            <w:tcW w:w="1674" w:type="dxa"/>
          </w:tcPr>
          <w:p w14:paraId="200CD1DF" w14:textId="04E24C6A" w:rsidR="00BE3597" w:rsidRDefault="00BE3597" w:rsidP="006A4AF4">
            <w:pPr>
              <w:jc w:val="center"/>
              <w:rPr>
                <w:rFonts w:ascii="Century Gothic" w:eastAsia="Century Gothic" w:hAnsi="Century Gothic" w:cs="Century Gothic"/>
                <w:sz w:val="24"/>
                <w:szCs w:val="24"/>
              </w:rPr>
            </w:pPr>
          </w:p>
        </w:tc>
        <w:tc>
          <w:tcPr>
            <w:tcW w:w="11504" w:type="dxa"/>
          </w:tcPr>
          <w:p w14:paraId="26DC18E7" w14:textId="03F973BE" w:rsidR="00BE3597" w:rsidRDefault="00BE3597" w:rsidP="006A4AF4">
            <w:pPr>
              <w:rPr>
                <w:rFonts w:ascii="Century Gothic" w:eastAsia="Century Gothic" w:hAnsi="Century Gothic" w:cs="Century Gothic"/>
                <w:sz w:val="24"/>
                <w:szCs w:val="24"/>
              </w:rPr>
            </w:pPr>
            <w:r>
              <w:rPr>
                <w:rFonts w:ascii="Century Gothic" w:eastAsia="Century Gothic" w:hAnsi="Century Gothic" w:cs="Century Gothic"/>
                <w:sz w:val="24"/>
                <w:szCs w:val="24"/>
              </w:rPr>
              <w:t>No aplica</w:t>
            </w:r>
          </w:p>
        </w:tc>
      </w:tr>
    </w:tbl>
    <w:p w14:paraId="2741A1E2" w14:textId="77777777" w:rsidR="00E70078" w:rsidRPr="008862BD" w:rsidRDefault="00E70078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71D310F" w14:textId="362E8CAE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5A800ECF" w14:textId="4BEDDB96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sectPr w:rsidR="00D13CBF" w:rsidRPr="00D13CBF" w:rsidSect="00B611A3">
      <w:headerReference w:type="default" r:id="rId10"/>
      <w:footerReference w:type="default" r:id="rId11"/>
      <w:footerReference w:type="first" r:id="rId12"/>
      <w:pgSz w:w="15840" w:h="12240" w:orient="landscape"/>
      <w:pgMar w:top="1418" w:right="851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400F1" w14:textId="77777777" w:rsidR="004F6474" w:rsidRPr="007D33A0" w:rsidRDefault="004F6474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118C289D" w14:textId="77777777" w:rsidR="004F6474" w:rsidRPr="007D33A0" w:rsidRDefault="004F6474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929695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CF1E862" w14:textId="77777777" w:rsidR="00BB36ED" w:rsidRDefault="00BB36ED" w:rsidP="00BB36ED">
            <w:pPr>
              <w:pStyle w:val="Footer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A71DD5" w14:textId="77777777" w:rsidR="00BB36ED" w:rsidRDefault="00BB36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3197749"/>
      <w:docPartObj>
        <w:docPartGallery w:val="Page Numbers (Bottom of Page)"/>
        <w:docPartUnique/>
      </w:docPartObj>
    </w:sdtPr>
    <w:sdtContent>
      <w:sdt>
        <w:sdtPr>
          <w:id w:val="-689912256"/>
          <w:docPartObj>
            <w:docPartGallery w:val="Page Numbers (Top of Page)"/>
            <w:docPartUnique/>
          </w:docPartObj>
        </w:sdtPr>
        <w:sdtContent>
          <w:p w14:paraId="70CCC68F" w14:textId="77777777" w:rsidR="00BE3597" w:rsidRDefault="00BE3597" w:rsidP="00BE3597">
            <w:pPr>
              <w:pStyle w:val="Footer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140DE1" w14:textId="77777777" w:rsidR="00BE3597" w:rsidRDefault="00BE35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FF3AF" w14:textId="77777777" w:rsidR="004F6474" w:rsidRPr="007D33A0" w:rsidRDefault="004F6474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3E68D702" w14:textId="77777777" w:rsidR="004F6474" w:rsidRPr="007D33A0" w:rsidRDefault="004F6474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2122"/>
      <w:gridCol w:w="7796"/>
      <w:gridCol w:w="3643"/>
    </w:tblGrid>
    <w:tr w:rsidR="006C2389" w:rsidRPr="008862BD" w14:paraId="1FC16E64" w14:textId="77777777" w:rsidTr="00CA44B8">
      <w:trPr>
        <w:trHeight w:val="424"/>
      </w:trPr>
      <w:tc>
        <w:tcPr>
          <w:tcW w:w="2122" w:type="dxa"/>
          <w:vMerge w:val="restart"/>
        </w:tcPr>
        <w:p w14:paraId="6FA8DE04" w14:textId="70DBB6C0" w:rsidR="006C2389" w:rsidRPr="008862BD" w:rsidRDefault="008862BD" w:rsidP="006C2389">
          <w:pPr>
            <w:pStyle w:val="Header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59264" behindDoc="0" locked="0" layoutInCell="1" allowOverlap="1" wp14:anchorId="37FEDBB6" wp14:editId="5825C6AA">
                <wp:simplePos x="0" y="0"/>
                <wp:positionH relativeFrom="column">
                  <wp:posOffset>311150</wp:posOffset>
                </wp:positionH>
                <wp:positionV relativeFrom="paragraph">
                  <wp:posOffset>93460</wp:posOffset>
                </wp:positionV>
                <wp:extent cx="652228" cy="904875"/>
                <wp:effectExtent l="0" t="0" r="0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96" w:type="dxa"/>
          <w:vMerge w:val="restart"/>
          <w:vAlign w:val="center"/>
        </w:tcPr>
        <w:p w14:paraId="65C492AA" w14:textId="46E9A57D" w:rsidR="006C2389" w:rsidRPr="008862BD" w:rsidRDefault="00CA44B8" w:rsidP="002C793B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Procedimiento Actualización Información Avance Físico Y Financiero SNIP</w:t>
          </w:r>
        </w:p>
      </w:tc>
      <w:tc>
        <w:tcPr>
          <w:tcW w:w="3643" w:type="dxa"/>
          <w:vAlign w:val="center"/>
        </w:tcPr>
        <w:p w14:paraId="413B6C95" w14:textId="3C2E9E52" w:rsidR="006C2389" w:rsidRPr="008862BD" w:rsidRDefault="006C2389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6C2389" w:rsidRPr="006A3B25" w14:paraId="25FBDA3F" w14:textId="77777777" w:rsidTr="00CA44B8">
      <w:trPr>
        <w:trHeight w:val="423"/>
      </w:trPr>
      <w:tc>
        <w:tcPr>
          <w:tcW w:w="2122" w:type="dxa"/>
          <w:vMerge/>
        </w:tcPr>
        <w:p w14:paraId="6C53BA40" w14:textId="77777777" w:rsidR="006C2389" w:rsidRPr="008862BD" w:rsidRDefault="006C2389" w:rsidP="002C793B">
          <w:pPr>
            <w:pStyle w:val="Header"/>
            <w:rPr>
              <w:rFonts w:ascii="Century Gothic" w:hAnsi="Century Gothic"/>
            </w:rPr>
          </w:pPr>
        </w:p>
      </w:tc>
      <w:tc>
        <w:tcPr>
          <w:tcW w:w="7796" w:type="dxa"/>
          <w:vMerge/>
          <w:vAlign w:val="center"/>
        </w:tcPr>
        <w:p w14:paraId="631D0A35" w14:textId="77777777" w:rsidR="006C2389" w:rsidRPr="008862BD" w:rsidRDefault="006C2389" w:rsidP="002C793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3643" w:type="dxa"/>
          <w:vAlign w:val="center"/>
        </w:tcPr>
        <w:p w14:paraId="40340049" w14:textId="49FEA32E" w:rsidR="006C2389" w:rsidRPr="00CA44B8" w:rsidRDefault="00CA44B8" w:rsidP="002C793B">
          <w:pPr>
            <w:pStyle w:val="Header"/>
            <w:jc w:val="center"/>
            <w:rPr>
              <w:rFonts w:ascii="Century Gothic" w:hAnsi="Century Gothic"/>
              <w:sz w:val="24"/>
              <w:szCs w:val="24"/>
              <w:lang w:val="en-US"/>
            </w:rPr>
          </w:pPr>
          <w:r w:rsidRPr="00AC0556">
            <w:rPr>
              <w:lang w:val="en-US"/>
            </w:rPr>
            <w:t>PR-MSL-DMP-DP-AIAFF-SNIP-05</w:t>
          </w:r>
        </w:p>
      </w:tc>
    </w:tr>
    <w:tr w:rsidR="006C2389" w:rsidRPr="008862BD" w14:paraId="08CF0DAB" w14:textId="77777777" w:rsidTr="00CA44B8">
      <w:trPr>
        <w:trHeight w:val="424"/>
      </w:trPr>
      <w:tc>
        <w:tcPr>
          <w:tcW w:w="2122" w:type="dxa"/>
          <w:vMerge/>
        </w:tcPr>
        <w:p w14:paraId="07E34398" w14:textId="77777777" w:rsidR="006C2389" w:rsidRPr="00CA44B8" w:rsidRDefault="006C2389" w:rsidP="002C793B">
          <w:pPr>
            <w:pStyle w:val="Header"/>
            <w:rPr>
              <w:rFonts w:ascii="Century Gothic" w:hAnsi="Century Gothic"/>
              <w:lang w:val="en-US"/>
            </w:rPr>
          </w:pPr>
        </w:p>
      </w:tc>
      <w:tc>
        <w:tcPr>
          <w:tcW w:w="7796" w:type="dxa"/>
          <w:vMerge/>
          <w:vAlign w:val="center"/>
        </w:tcPr>
        <w:p w14:paraId="34A4D30B" w14:textId="77777777" w:rsidR="006C2389" w:rsidRPr="00CA44B8" w:rsidRDefault="006C2389" w:rsidP="002C793B">
          <w:pPr>
            <w:pStyle w:val="Header"/>
            <w:jc w:val="center"/>
            <w:rPr>
              <w:rFonts w:ascii="Century Gothic" w:hAnsi="Century Gothic"/>
              <w:lang w:val="en-US"/>
            </w:rPr>
          </w:pPr>
        </w:p>
      </w:tc>
      <w:tc>
        <w:tcPr>
          <w:tcW w:w="3643" w:type="dxa"/>
          <w:vAlign w:val="center"/>
        </w:tcPr>
        <w:p w14:paraId="32412902" w14:textId="1BA00142" w:rsidR="006C2389" w:rsidRPr="008862BD" w:rsidRDefault="006C2389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6C2389" w:rsidRPr="008862BD" w14:paraId="1424266A" w14:textId="77777777" w:rsidTr="00CA44B8">
      <w:trPr>
        <w:trHeight w:val="423"/>
      </w:trPr>
      <w:tc>
        <w:tcPr>
          <w:tcW w:w="2122" w:type="dxa"/>
          <w:vMerge/>
        </w:tcPr>
        <w:p w14:paraId="30A4D7C3" w14:textId="77777777" w:rsidR="006C2389" w:rsidRPr="008862BD" w:rsidRDefault="006C2389" w:rsidP="002C793B">
          <w:pPr>
            <w:pStyle w:val="Header"/>
            <w:rPr>
              <w:rFonts w:ascii="Century Gothic" w:hAnsi="Century Gothic"/>
            </w:rPr>
          </w:pPr>
        </w:p>
      </w:tc>
      <w:tc>
        <w:tcPr>
          <w:tcW w:w="7796" w:type="dxa"/>
          <w:vMerge/>
          <w:vAlign w:val="center"/>
        </w:tcPr>
        <w:p w14:paraId="3EF60E36" w14:textId="77777777" w:rsidR="006C2389" w:rsidRPr="008862BD" w:rsidRDefault="006C2389" w:rsidP="002C793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3643" w:type="dxa"/>
          <w:vAlign w:val="center"/>
        </w:tcPr>
        <w:p w14:paraId="008BF434" w14:textId="3C43469E" w:rsidR="006C2389" w:rsidRPr="008862BD" w:rsidRDefault="00CA44B8" w:rsidP="002C793B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3FCAF478" w14:textId="0CB9AFFA" w:rsidR="002C793B" w:rsidRPr="007D33A0" w:rsidRDefault="002C793B" w:rsidP="002C7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D2822"/>
    <w:multiLevelType w:val="hybridMultilevel"/>
    <w:tmpl w:val="CB8EA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C7303D"/>
    <w:multiLevelType w:val="hybridMultilevel"/>
    <w:tmpl w:val="94C4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33CD1"/>
    <w:multiLevelType w:val="hybridMultilevel"/>
    <w:tmpl w:val="B35E9C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441EB5"/>
    <w:multiLevelType w:val="hybridMultilevel"/>
    <w:tmpl w:val="6BBA2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E56EA"/>
    <w:multiLevelType w:val="hybridMultilevel"/>
    <w:tmpl w:val="240E6FC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E3A78"/>
    <w:multiLevelType w:val="hybridMultilevel"/>
    <w:tmpl w:val="DF70454A"/>
    <w:lvl w:ilvl="0" w:tplc="754682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FCE2B39"/>
    <w:multiLevelType w:val="hybridMultilevel"/>
    <w:tmpl w:val="7D18934C"/>
    <w:lvl w:ilvl="0" w:tplc="53E4BCAA">
      <w:start w:val="1"/>
      <w:numFmt w:val="lowerLetter"/>
      <w:lvlText w:val="%1)"/>
      <w:lvlJc w:val="left"/>
      <w:pPr>
        <w:ind w:left="1776" w:hanging="360"/>
      </w:pPr>
      <w:rPr>
        <w:rFonts w:ascii="Century Gothic" w:eastAsiaTheme="minorHAnsi" w:hAnsi="Century Gothic" w:cstheme="minorBidi"/>
      </w:rPr>
    </w:lvl>
    <w:lvl w:ilvl="1" w:tplc="100A0019" w:tentative="1">
      <w:start w:val="1"/>
      <w:numFmt w:val="lowerLetter"/>
      <w:lvlText w:val="%2."/>
      <w:lvlJc w:val="left"/>
      <w:pPr>
        <w:ind w:left="2496" w:hanging="360"/>
      </w:pPr>
    </w:lvl>
    <w:lvl w:ilvl="2" w:tplc="100A001B" w:tentative="1">
      <w:start w:val="1"/>
      <w:numFmt w:val="lowerRoman"/>
      <w:lvlText w:val="%3."/>
      <w:lvlJc w:val="right"/>
      <w:pPr>
        <w:ind w:left="3216" w:hanging="180"/>
      </w:pPr>
    </w:lvl>
    <w:lvl w:ilvl="3" w:tplc="100A000F" w:tentative="1">
      <w:start w:val="1"/>
      <w:numFmt w:val="decimal"/>
      <w:lvlText w:val="%4."/>
      <w:lvlJc w:val="left"/>
      <w:pPr>
        <w:ind w:left="3936" w:hanging="360"/>
      </w:pPr>
    </w:lvl>
    <w:lvl w:ilvl="4" w:tplc="100A0019" w:tentative="1">
      <w:start w:val="1"/>
      <w:numFmt w:val="lowerLetter"/>
      <w:lvlText w:val="%5."/>
      <w:lvlJc w:val="left"/>
      <w:pPr>
        <w:ind w:left="4656" w:hanging="360"/>
      </w:pPr>
    </w:lvl>
    <w:lvl w:ilvl="5" w:tplc="100A001B" w:tentative="1">
      <w:start w:val="1"/>
      <w:numFmt w:val="lowerRoman"/>
      <w:lvlText w:val="%6."/>
      <w:lvlJc w:val="right"/>
      <w:pPr>
        <w:ind w:left="5376" w:hanging="180"/>
      </w:pPr>
    </w:lvl>
    <w:lvl w:ilvl="6" w:tplc="100A000F" w:tentative="1">
      <w:start w:val="1"/>
      <w:numFmt w:val="decimal"/>
      <w:lvlText w:val="%7."/>
      <w:lvlJc w:val="left"/>
      <w:pPr>
        <w:ind w:left="6096" w:hanging="360"/>
      </w:pPr>
    </w:lvl>
    <w:lvl w:ilvl="7" w:tplc="100A0019" w:tentative="1">
      <w:start w:val="1"/>
      <w:numFmt w:val="lowerLetter"/>
      <w:lvlText w:val="%8."/>
      <w:lvlJc w:val="left"/>
      <w:pPr>
        <w:ind w:left="6816" w:hanging="360"/>
      </w:pPr>
    </w:lvl>
    <w:lvl w:ilvl="8" w:tplc="1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DE2351B"/>
    <w:multiLevelType w:val="hybridMultilevel"/>
    <w:tmpl w:val="2DCE8D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24B6C48"/>
    <w:multiLevelType w:val="hybridMultilevel"/>
    <w:tmpl w:val="87E4B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C25F53"/>
    <w:multiLevelType w:val="hybridMultilevel"/>
    <w:tmpl w:val="6B6A5244"/>
    <w:lvl w:ilvl="0" w:tplc="65C6B9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8797E49"/>
    <w:multiLevelType w:val="hybridMultilevel"/>
    <w:tmpl w:val="326E060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DC23D8"/>
    <w:multiLevelType w:val="hybridMultilevel"/>
    <w:tmpl w:val="85F22A3E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20110"/>
    <w:multiLevelType w:val="hybridMultilevel"/>
    <w:tmpl w:val="DE2E11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FA415CA"/>
    <w:multiLevelType w:val="hybridMultilevel"/>
    <w:tmpl w:val="149620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992298">
    <w:abstractNumId w:val="5"/>
  </w:num>
  <w:num w:numId="2" w16cid:durableId="1211307425">
    <w:abstractNumId w:val="4"/>
  </w:num>
  <w:num w:numId="3" w16cid:durableId="2076930170">
    <w:abstractNumId w:val="7"/>
  </w:num>
  <w:num w:numId="4" w16cid:durableId="1023824324">
    <w:abstractNumId w:val="12"/>
  </w:num>
  <w:num w:numId="5" w16cid:durableId="423887800">
    <w:abstractNumId w:val="11"/>
  </w:num>
  <w:num w:numId="6" w16cid:durableId="1213806401">
    <w:abstractNumId w:val="14"/>
  </w:num>
  <w:num w:numId="7" w16cid:durableId="2138451118">
    <w:abstractNumId w:val="3"/>
  </w:num>
  <w:num w:numId="8" w16cid:durableId="15280651">
    <w:abstractNumId w:val="1"/>
  </w:num>
  <w:num w:numId="9" w16cid:durableId="273906188">
    <w:abstractNumId w:val="9"/>
  </w:num>
  <w:num w:numId="10" w16cid:durableId="1956979823">
    <w:abstractNumId w:val="8"/>
  </w:num>
  <w:num w:numId="11" w16cid:durableId="935213404">
    <w:abstractNumId w:val="2"/>
  </w:num>
  <w:num w:numId="12" w16cid:durableId="1166365989">
    <w:abstractNumId w:val="6"/>
  </w:num>
  <w:num w:numId="13" w16cid:durableId="2047370326">
    <w:abstractNumId w:val="13"/>
  </w:num>
  <w:num w:numId="14" w16cid:durableId="233710094">
    <w:abstractNumId w:val="10"/>
  </w:num>
  <w:num w:numId="15" w16cid:durableId="1634945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072A6"/>
    <w:rsid w:val="0001246A"/>
    <w:rsid w:val="00020242"/>
    <w:rsid w:val="00026FF1"/>
    <w:rsid w:val="000819BF"/>
    <w:rsid w:val="00085DDB"/>
    <w:rsid w:val="000C0CF6"/>
    <w:rsid w:val="000C65D4"/>
    <w:rsid w:val="00122360"/>
    <w:rsid w:val="0013477F"/>
    <w:rsid w:val="00134D9C"/>
    <w:rsid w:val="00151A41"/>
    <w:rsid w:val="00171EAF"/>
    <w:rsid w:val="00180524"/>
    <w:rsid w:val="00180BD8"/>
    <w:rsid w:val="00193462"/>
    <w:rsid w:val="001954B3"/>
    <w:rsid w:val="00197B11"/>
    <w:rsid w:val="001B6012"/>
    <w:rsid w:val="001D00DD"/>
    <w:rsid w:val="001E46A2"/>
    <w:rsid w:val="001F4A3A"/>
    <w:rsid w:val="001F530E"/>
    <w:rsid w:val="00214156"/>
    <w:rsid w:val="00226E61"/>
    <w:rsid w:val="00227D42"/>
    <w:rsid w:val="00232D05"/>
    <w:rsid w:val="00240D89"/>
    <w:rsid w:val="00263BF6"/>
    <w:rsid w:val="00275974"/>
    <w:rsid w:val="002918C7"/>
    <w:rsid w:val="002B2519"/>
    <w:rsid w:val="002C5BDE"/>
    <w:rsid w:val="002C649B"/>
    <w:rsid w:val="002C77E1"/>
    <w:rsid w:val="002C793B"/>
    <w:rsid w:val="002D485B"/>
    <w:rsid w:val="002D7D79"/>
    <w:rsid w:val="002E139D"/>
    <w:rsid w:val="003257B6"/>
    <w:rsid w:val="003516B4"/>
    <w:rsid w:val="00357D49"/>
    <w:rsid w:val="00370E9F"/>
    <w:rsid w:val="00377885"/>
    <w:rsid w:val="003856AF"/>
    <w:rsid w:val="00386E72"/>
    <w:rsid w:val="0039025D"/>
    <w:rsid w:val="00393492"/>
    <w:rsid w:val="003A092A"/>
    <w:rsid w:val="003A5B33"/>
    <w:rsid w:val="003B4887"/>
    <w:rsid w:val="003B6399"/>
    <w:rsid w:val="003E16C1"/>
    <w:rsid w:val="003E3967"/>
    <w:rsid w:val="003F0320"/>
    <w:rsid w:val="00403710"/>
    <w:rsid w:val="00416FD2"/>
    <w:rsid w:val="00420A89"/>
    <w:rsid w:val="00431ABD"/>
    <w:rsid w:val="00444EEA"/>
    <w:rsid w:val="00462D15"/>
    <w:rsid w:val="00465B48"/>
    <w:rsid w:val="00467F20"/>
    <w:rsid w:val="004928E5"/>
    <w:rsid w:val="004A77F7"/>
    <w:rsid w:val="004B5872"/>
    <w:rsid w:val="004B695F"/>
    <w:rsid w:val="004E3D14"/>
    <w:rsid w:val="004E4E41"/>
    <w:rsid w:val="004F6474"/>
    <w:rsid w:val="00512FF2"/>
    <w:rsid w:val="00521DF1"/>
    <w:rsid w:val="0052524B"/>
    <w:rsid w:val="0053162E"/>
    <w:rsid w:val="00531C19"/>
    <w:rsid w:val="00540428"/>
    <w:rsid w:val="005645AD"/>
    <w:rsid w:val="00575739"/>
    <w:rsid w:val="005830A7"/>
    <w:rsid w:val="005831A0"/>
    <w:rsid w:val="005B0602"/>
    <w:rsid w:val="005C0BC7"/>
    <w:rsid w:val="005D5284"/>
    <w:rsid w:val="005E0B75"/>
    <w:rsid w:val="005F7F34"/>
    <w:rsid w:val="006102CE"/>
    <w:rsid w:val="00615417"/>
    <w:rsid w:val="00641176"/>
    <w:rsid w:val="00686FD7"/>
    <w:rsid w:val="006A3B25"/>
    <w:rsid w:val="006B2102"/>
    <w:rsid w:val="006C2389"/>
    <w:rsid w:val="006D4C1B"/>
    <w:rsid w:val="006E2FEA"/>
    <w:rsid w:val="007038F7"/>
    <w:rsid w:val="00733D24"/>
    <w:rsid w:val="00744155"/>
    <w:rsid w:val="0078634D"/>
    <w:rsid w:val="007B68AE"/>
    <w:rsid w:val="007D33A0"/>
    <w:rsid w:val="00821680"/>
    <w:rsid w:val="00822A08"/>
    <w:rsid w:val="00832967"/>
    <w:rsid w:val="00832D18"/>
    <w:rsid w:val="008570CE"/>
    <w:rsid w:val="008632BA"/>
    <w:rsid w:val="008862BD"/>
    <w:rsid w:val="00887C5F"/>
    <w:rsid w:val="008C5943"/>
    <w:rsid w:val="008C6E7E"/>
    <w:rsid w:val="008E056A"/>
    <w:rsid w:val="008E2CD2"/>
    <w:rsid w:val="008F7009"/>
    <w:rsid w:val="00921253"/>
    <w:rsid w:val="00950782"/>
    <w:rsid w:val="00977764"/>
    <w:rsid w:val="00A04E28"/>
    <w:rsid w:val="00A105D9"/>
    <w:rsid w:val="00A477AD"/>
    <w:rsid w:val="00AA49E6"/>
    <w:rsid w:val="00AA6D0C"/>
    <w:rsid w:val="00AE14E5"/>
    <w:rsid w:val="00AE5AA2"/>
    <w:rsid w:val="00B0407A"/>
    <w:rsid w:val="00B47341"/>
    <w:rsid w:val="00B50D2A"/>
    <w:rsid w:val="00B611A3"/>
    <w:rsid w:val="00B63E90"/>
    <w:rsid w:val="00B8620B"/>
    <w:rsid w:val="00B93F3B"/>
    <w:rsid w:val="00BB36ED"/>
    <w:rsid w:val="00BD13EF"/>
    <w:rsid w:val="00BD4034"/>
    <w:rsid w:val="00BE3597"/>
    <w:rsid w:val="00BE554D"/>
    <w:rsid w:val="00C00D16"/>
    <w:rsid w:val="00C11356"/>
    <w:rsid w:val="00C24324"/>
    <w:rsid w:val="00C4736B"/>
    <w:rsid w:val="00C85690"/>
    <w:rsid w:val="00C95885"/>
    <w:rsid w:val="00CA44B8"/>
    <w:rsid w:val="00CE3085"/>
    <w:rsid w:val="00D04625"/>
    <w:rsid w:val="00D055ED"/>
    <w:rsid w:val="00D1339C"/>
    <w:rsid w:val="00D134CD"/>
    <w:rsid w:val="00D13CBF"/>
    <w:rsid w:val="00D15C82"/>
    <w:rsid w:val="00D21DB8"/>
    <w:rsid w:val="00D333BB"/>
    <w:rsid w:val="00D42413"/>
    <w:rsid w:val="00D5312A"/>
    <w:rsid w:val="00D5591B"/>
    <w:rsid w:val="00D56089"/>
    <w:rsid w:val="00D6057B"/>
    <w:rsid w:val="00D849CC"/>
    <w:rsid w:val="00DA32E3"/>
    <w:rsid w:val="00DA500A"/>
    <w:rsid w:val="00DA58D2"/>
    <w:rsid w:val="00DC45E4"/>
    <w:rsid w:val="00DC520F"/>
    <w:rsid w:val="00DF46EB"/>
    <w:rsid w:val="00E00A62"/>
    <w:rsid w:val="00E00C66"/>
    <w:rsid w:val="00E0692D"/>
    <w:rsid w:val="00E13259"/>
    <w:rsid w:val="00E70078"/>
    <w:rsid w:val="00E75CA4"/>
    <w:rsid w:val="00E811D4"/>
    <w:rsid w:val="00EA4EC4"/>
    <w:rsid w:val="00EB14CC"/>
    <w:rsid w:val="00EE6C59"/>
    <w:rsid w:val="00EF0C8A"/>
    <w:rsid w:val="00F11F11"/>
    <w:rsid w:val="00F35F5C"/>
    <w:rsid w:val="00F42DCA"/>
    <w:rsid w:val="00F50A23"/>
    <w:rsid w:val="00F66A8A"/>
    <w:rsid w:val="00F7534A"/>
    <w:rsid w:val="00F90883"/>
    <w:rsid w:val="00FA7FEA"/>
    <w:rsid w:val="00F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7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7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7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93B"/>
  </w:style>
  <w:style w:type="paragraph" w:styleId="Footer">
    <w:name w:val="footer"/>
    <w:basedOn w:val="Normal"/>
    <w:link w:val="Foot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418</Words>
  <Characters>2658</Characters>
  <Application>Microsoft Office Word</Application>
  <DocSecurity>0</DocSecurity>
  <Lines>177</Lines>
  <Paragraphs>123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William Fernando Cambara Cortez</cp:lastModifiedBy>
  <cp:revision>6</cp:revision>
  <cp:lastPrinted>2025-11-27T04:03:00Z</cp:lastPrinted>
  <dcterms:created xsi:type="dcterms:W3CDTF">2025-09-12T01:45:00Z</dcterms:created>
  <dcterms:modified xsi:type="dcterms:W3CDTF">2025-11-27T04:03:00Z</dcterms:modified>
</cp:coreProperties>
</file>